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A3" w:rsidRDefault="00005F71" w:rsidP="001F10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Engagement Quality Control Review (EQCR)</w:t>
      </w:r>
    </w:p>
    <w:p w:rsidR="00005F71" w:rsidRDefault="00005F71" w:rsidP="00005F7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005F71" w:rsidRPr="00005F71" w:rsidRDefault="00005F71" w:rsidP="00005F7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005F71">
        <w:rPr>
          <w:rFonts w:asciiTheme="majorBidi" w:hAnsiTheme="majorBidi" w:cstheme="majorBidi"/>
          <w:color w:val="000000"/>
        </w:rPr>
        <w:t>The EQCR is designed to provide an objective evaluation, on or before the date of the report, of the</w:t>
      </w:r>
      <w:r>
        <w:rPr>
          <w:rFonts w:asciiTheme="majorBidi" w:hAnsiTheme="majorBidi" w:cstheme="majorBidi"/>
          <w:color w:val="000000"/>
        </w:rPr>
        <w:t xml:space="preserve"> </w:t>
      </w:r>
      <w:r w:rsidRPr="00005F71">
        <w:rPr>
          <w:rFonts w:asciiTheme="majorBidi" w:hAnsiTheme="majorBidi" w:cstheme="majorBidi"/>
          <w:color w:val="000000"/>
        </w:rPr>
        <w:t>significant judgments the engagement team made and the conclusions it rea</w:t>
      </w:r>
      <w:r>
        <w:rPr>
          <w:rFonts w:asciiTheme="majorBidi" w:hAnsiTheme="majorBidi" w:cstheme="majorBidi"/>
          <w:color w:val="000000"/>
        </w:rPr>
        <w:t xml:space="preserve">ched in formulating the report, </w:t>
      </w:r>
      <w:r w:rsidRPr="00005F71">
        <w:rPr>
          <w:rFonts w:asciiTheme="majorBidi" w:hAnsiTheme="majorBidi" w:cstheme="majorBidi"/>
          <w:color w:val="000000"/>
        </w:rPr>
        <w:t>including whether the engagement report is appropriate.</w:t>
      </w:r>
    </w:p>
    <w:p w:rsidR="001F10A3" w:rsidRDefault="001F10A3" w:rsidP="0074409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95"/>
        <w:gridCol w:w="485"/>
        <w:gridCol w:w="630"/>
        <w:gridCol w:w="2268"/>
      </w:tblGrid>
      <w:tr w:rsidR="001F10A3" w:rsidTr="00744094">
        <w:tc>
          <w:tcPr>
            <w:tcW w:w="5598" w:type="dxa"/>
          </w:tcPr>
          <w:p w:rsidR="00005F71" w:rsidRDefault="00005F71" w:rsidP="00005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Engagement Quality Control Review (EQCR)</w:t>
            </w:r>
          </w:p>
          <w:p w:rsidR="001F10A3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1F10A3" w:rsidRDefault="00CB0CE4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268" w:type="dxa"/>
          </w:tcPr>
          <w:p w:rsidR="001F10A3" w:rsidRPr="00744094" w:rsidRDefault="00005F71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1F10A3" w:rsidRPr="00744094" w:rsidTr="00744094">
        <w:tc>
          <w:tcPr>
            <w:tcW w:w="5598" w:type="dxa"/>
          </w:tcPr>
          <w:p w:rsidR="001F10A3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1. Review the financial statements or other subject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matter.</w:t>
            </w:r>
          </w:p>
        </w:tc>
        <w:tc>
          <w:tcPr>
            <w:tcW w:w="595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1F10A3" w:rsidRPr="00744094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1F10A3" w:rsidRPr="00005F71" w:rsidTr="00744094">
        <w:tc>
          <w:tcPr>
            <w:tcW w:w="5598" w:type="dxa"/>
          </w:tcPr>
          <w:p w:rsidR="00744094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2. Review the proposed report and indicate whether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it is appropriate in the circumstances.</w:t>
            </w:r>
          </w:p>
        </w:tc>
        <w:tc>
          <w:tcPr>
            <w:tcW w:w="595" w:type="dxa"/>
          </w:tcPr>
          <w:p w:rsidR="001F10A3" w:rsidRPr="00005F71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1F10A3" w:rsidRPr="00005F71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1F10A3" w:rsidRPr="00005F71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1F10A3" w:rsidRPr="00005F71" w:rsidRDefault="001F10A3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RP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3. In the case of an audit engagement, review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working papers documenting significant audit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risks and the firm</w:t>
            </w:r>
            <w:r w:rsidRPr="00005F71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005F71">
              <w:rPr>
                <w:rFonts w:asciiTheme="majorBidi" w:hAnsiTheme="majorBidi" w:cstheme="majorBidi"/>
                <w:color w:val="000000"/>
              </w:rPr>
              <w:t>s response to such risks.</w:t>
            </w:r>
          </w:p>
        </w:tc>
        <w:tc>
          <w:tcPr>
            <w:tcW w:w="59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RP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4. Determine whether working papers selected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review reflect the work performed in relation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to the significant judgments and conclusions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reached.</w:t>
            </w:r>
          </w:p>
        </w:tc>
        <w:tc>
          <w:tcPr>
            <w:tcW w:w="59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RP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5. Review documentation for evidence that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engagement acceptance (or continuance, if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applicable) procedures were performed.</w:t>
            </w:r>
          </w:p>
        </w:tc>
        <w:tc>
          <w:tcPr>
            <w:tcW w:w="59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RP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6. Review the assessment procedures when reliance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is placed on the work of other auditors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accountants.</w:t>
            </w:r>
          </w:p>
        </w:tc>
        <w:tc>
          <w:tcPr>
            <w:tcW w:w="59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RP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7. Review the procedures relating to compliance with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relevant legislat</w:t>
            </w:r>
            <w:r>
              <w:rPr>
                <w:rFonts w:asciiTheme="majorBidi" w:hAnsiTheme="majorBidi" w:cstheme="majorBidi"/>
                <w:color w:val="000000"/>
              </w:rPr>
              <w:t xml:space="preserve">ion, listing requirements where </w:t>
            </w:r>
            <w:r w:rsidRPr="00005F71">
              <w:rPr>
                <w:rFonts w:asciiTheme="majorBidi" w:hAnsiTheme="majorBidi" w:cstheme="majorBidi"/>
                <w:color w:val="000000"/>
              </w:rPr>
              <w:t>relevant, and criteria (for example, IFRSs).</w:t>
            </w:r>
          </w:p>
        </w:tc>
        <w:tc>
          <w:tcPr>
            <w:tcW w:w="59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RP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8. Review the appropriateness of engagement team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selection.</w:t>
            </w:r>
          </w:p>
        </w:tc>
        <w:tc>
          <w:tcPr>
            <w:tcW w:w="59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RPr="00005F71" w:rsidTr="00744094">
        <w:tc>
          <w:tcPr>
            <w:tcW w:w="5598" w:type="dxa"/>
          </w:tcPr>
          <w:p w:rsidR="00005F71" w:rsidRPr="00744094" w:rsidRDefault="00005F71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9. Review the engagement letter.</w:t>
            </w:r>
          </w:p>
        </w:tc>
        <w:tc>
          <w:tcPr>
            <w:tcW w:w="59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85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0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68" w:type="dxa"/>
          </w:tcPr>
          <w:p w:rsidR="00005F71" w:rsidRP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10. Review the representation letter signed by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management or those charged with governance.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11. Review conclusions regarding going concern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considerations.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12. Review evidence of appropriate review of working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papers pe</w:t>
            </w:r>
            <w:r>
              <w:rPr>
                <w:rFonts w:asciiTheme="majorBidi" w:hAnsiTheme="majorBidi" w:cstheme="majorBidi"/>
                <w:color w:val="000000"/>
              </w:rPr>
              <w:t xml:space="preserve">rformed by assurance engagement </w:t>
            </w:r>
            <w:r w:rsidRPr="00005F71">
              <w:rPr>
                <w:rFonts w:asciiTheme="majorBidi" w:hAnsiTheme="majorBidi" w:cstheme="majorBidi"/>
                <w:color w:val="000000"/>
              </w:rPr>
              <w:t>management.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13. Review other reports issued in relation to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engagement such a</w:t>
            </w:r>
            <w:r>
              <w:rPr>
                <w:rFonts w:asciiTheme="majorBidi" w:hAnsiTheme="majorBidi" w:cstheme="majorBidi"/>
                <w:color w:val="000000"/>
              </w:rPr>
              <w:t xml:space="preserve">s regulatory returns in respect </w:t>
            </w:r>
            <w:r w:rsidRPr="00005F71">
              <w:rPr>
                <w:rFonts w:asciiTheme="majorBidi" w:hAnsiTheme="majorBidi" w:cstheme="majorBidi"/>
                <w:color w:val="000000"/>
              </w:rPr>
              <w:t>of financial institutions.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14. Review the level of non-assurance services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provided to the client.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15. Review the significance and disposition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corrected and uncorrected misstatements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identified during the engagement.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005F7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005F71">
              <w:rPr>
                <w:rFonts w:asciiTheme="majorBidi" w:hAnsiTheme="majorBidi" w:cstheme="majorBidi"/>
                <w:color w:val="000000"/>
              </w:rPr>
              <w:t>16. Review the engagement team</w:t>
            </w:r>
            <w:r w:rsidRPr="00005F71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005F71">
              <w:rPr>
                <w:rFonts w:asciiTheme="majorBidi" w:hAnsiTheme="majorBidi" w:cstheme="majorBidi"/>
                <w:color w:val="000000"/>
              </w:rPr>
              <w:t>s evaluation of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05F71">
              <w:rPr>
                <w:rFonts w:asciiTheme="majorBidi" w:hAnsiTheme="majorBidi" w:cstheme="majorBidi"/>
                <w:color w:val="000000"/>
              </w:rPr>
              <w:t>independence of th</w:t>
            </w:r>
            <w:r>
              <w:rPr>
                <w:rFonts w:asciiTheme="majorBidi" w:hAnsiTheme="majorBidi" w:cstheme="majorBidi"/>
                <w:color w:val="000000"/>
              </w:rPr>
              <w:t xml:space="preserve">e firm and personnel, including </w:t>
            </w:r>
            <w:r w:rsidRPr="00005F71">
              <w:rPr>
                <w:rFonts w:asciiTheme="majorBidi" w:hAnsiTheme="majorBidi" w:cstheme="majorBidi"/>
                <w:color w:val="000000"/>
              </w:rPr>
              <w:t>network firm personnel and experts.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005F71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F01FD">
              <w:rPr>
                <w:rFonts w:asciiTheme="majorBidi" w:hAnsiTheme="majorBidi" w:cstheme="majorBidi"/>
                <w:color w:val="000000"/>
              </w:rPr>
              <w:t>17. Review evidence that consultation with other</w:t>
            </w:r>
            <w:r w:rsidR="007F01F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partners has taken place with regard to difficult</w:t>
            </w:r>
            <w:r w:rsidR="007F01F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or contentious matters and differences of opinion</w:t>
            </w:r>
            <w:r w:rsidR="007F01F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and that the conclusions are appropriate and have</w:t>
            </w:r>
            <w:r w:rsidR="007F01FD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been implemented.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7F01FD" w:rsidP="00744094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F01FD">
              <w:rPr>
                <w:rFonts w:asciiTheme="majorBidi" w:hAnsiTheme="majorBidi" w:cstheme="majorBidi"/>
                <w:color w:val="000000"/>
              </w:rPr>
              <w:t>18. Review advice from specialists consulted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F01FD" w:rsidTr="007F01FD">
        <w:tc>
          <w:tcPr>
            <w:tcW w:w="5598" w:type="dxa"/>
          </w:tcPr>
          <w:p w:rsidR="007F01FD" w:rsidRDefault="007F01FD" w:rsidP="007F01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Engagement Quality Control Review (EQCR)</w:t>
            </w:r>
          </w:p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5" w:type="dxa"/>
          </w:tcPr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485" w:type="dxa"/>
          </w:tcPr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0" w:type="dxa"/>
          </w:tcPr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N/A</w:t>
            </w:r>
          </w:p>
        </w:tc>
        <w:tc>
          <w:tcPr>
            <w:tcW w:w="2268" w:type="dxa"/>
          </w:tcPr>
          <w:p w:rsidR="007F01FD" w:rsidRPr="00744094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005F71" w:rsidTr="00744094">
        <w:tc>
          <w:tcPr>
            <w:tcW w:w="5598" w:type="dxa"/>
          </w:tcPr>
          <w:p w:rsidR="00005F71" w:rsidRPr="00744094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F01FD">
              <w:rPr>
                <w:rFonts w:asciiTheme="majorBidi" w:hAnsiTheme="majorBidi" w:cstheme="majorBidi"/>
                <w:color w:val="000000"/>
              </w:rPr>
              <w:t>19. Review matters to be communicated to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management and those charged with governance,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and where applicable, regulatory bodies.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F01FD">
              <w:rPr>
                <w:rFonts w:asciiTheme="majorBidi" w:hAnsiTheme="majorBidi" w:cstheme="majorBidi"/>
                <w:color w:val="000000"/>
              </w:rPr>
              <w:t>20. Hold a discussion with the engagement partner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during the engagement quality control review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to review decisions on contentious, difficult 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complex aspects of the engagement affecting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financial statement disclosures.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5F71" w:rsidTr="00744094">
        <w:tc>
          <w:tcPr>
            <w:tcW w:w="5598" w:type="dxa"/>
          </w:tcPr>
          <w:p w:rsidR="00005F71" w:rsidRPr="00744094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7F01FD">
              <w:rPr>
                <w:rFonts w:asciiTheme="majorBidi" w:hAnsiTheme="majorBidi" w:cstheme="majorBidi"/>
                <w:color w:val="000000"/>
              </w:rPr>
              <w:t>21. Where the recommendations of the quality control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reviewer are not accepted by the engag</w:t>
            </w:r>
            <w:r>
              <w:rPr>
                <w:rFonts w:asciiTheme="majorBidi" w:hAnsiTheme="majorBidi" w:cstheme="majorBidi"/>
                <w:color w:val="000000"/>
              </w:rPr>
              <w:t xml:space="preserve">ement </w:t>
            </w:r>
            <w:r w:rsidRPr="007F01FD">
              <w:rPr>
                <w:rFonts w:asciiTheme="majorBidi" w:hAnsiTheme="majorBidi" w:cstheme="majorBidi"/>
                <w:color w:val="000000"/>
              </w:rPr>
              <w:t>partner and the matter is not resolved to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reviewer</w:t>
            </w:r>
            <w:r w:rsidRPr="007F01FD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F01FD">
              <w:rPr>
                <w:rFonts w:asciiTheme="majorBidi" w:hAnsiTheme="majorBidi" w:cstheme="majorBidi"/>
                <w:color w:val="000000"/>
              </w:rPr>
              <w:t>s satisfaction, the report may not be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dated until the matter is resolved by following the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firm</w:t>
            </w:r>
            <w:r w:rsidRPr="007F01FD">
              <w:rPr>
                <w:rFonts w:asciiTheme="majorBidi" w:hAnsiTheme="majorBidi" w:cstheme="majorBidi" w:hint="cs"/>
                <w:color w:val="000000"/>
              </w:rPr>
              <w:t>’</w:t>
            </w:r>
            <w:r w:rsidRPr="007F01FD">
              <w:rPr>
                <w:rFonts w:asciiTheme="majorBidi" w:hAnsiTheme="majorBidi" w:cstheme="majorBidi"/>
                <w:color w:val="000000"/>
              </w:rPr>
              <w:t>s procedures for dealing with differences of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F01FD">
              <w:rPr>
                <w:rFonts w:asciiTheme="majorBidi" w:hAnsiTheme="majorBidi" w:cstheme="majorBidi"/>
                <w:color w:val="000000"/>
              </w:rPr>
              <w:t>opinion. Provide details, if applicable.</w:t>
            </w:r>
          </w:p>
        </w:tc>
        <w:tc>
          <w:tcPr>
            <w:tcW w:w="59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</w:tcPr>
          <w:p w:rsidR="00005F71" w:rsidRDefault="00005F71" w:rsidP="001F10A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002FD" w:rsidRDefault="000002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7F01FD" w:rsidRDefault="007F01FD" w:rsidP="00B2227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7F01FD" w:rsidRDefault="007F01F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cs="MyriadPro-Bold"/>
          <w:b/>
          <w:bCs/>
          <w:sz w:val="24"/>
          <w:szCs w:val="24"/>
        </w:rPr>
      </w:pPr>
      <w:r>
        <w:rPr>
          <w:rFonts w:ascii="MyriadPro-Bold" w:cs="MyriadPro-Bold"/>
          <w:b/>
          <w:bCs/>
          <w:sz w:val="24"/>
          <w:szCs w:val="24"/>
        </w:rPr>
        <w:t>Reviewer conclusion</w:t>
      </w:r>
    </w:p>
    <w:p w:rsidR="007F01FD" w:rsidRDefault="007F01F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cs="MyriadPro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1FD" w:rsidTr="007F01FD">
        <w:tc>
          <w:tcPr>
            <w:tcW w:w="9576" w:type="dxa"/>
          </w:tcPr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01FD">
              <w:rPr>
                <w:rFonts w:asciiTheme="majorBidi" w:hAnsiTheme="majorBidi" w:cstheme="majorBidi"/>
                <w:b/>
                <w:bCs/>
              </w:rPr>
              <w:t xml:space="preserve">Reviewer </w:t>
            </w:r>
            <w:r w:rsidRPr="00B22276">
              <w:rPr>
                <w:rFonts w:asciiTheme="majorBidi" w:hAnsiTheme="majorBidi" w:cstheme="majorBidi"/>
                <w:b/>
                <w:bCs/>
              </w:rPr>
              <w:t>comments</w:t>
            </w:r>
          </w:p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F01FD" w:rsidRDefault="007F01FD" w:rsidP="007F01F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 -----------------</w:t>
            </w:r>
          </w:p>
        </w:tc>
      </w:tr>
      <w:tr w:rsidR="007F01FD" w:rsidTr="007F01FD">
        <w:tc>
          <w:tcPr>
            <w:tcW w:w="9576" w:type="dxa"/>
          </w:tcPr>
          <w:p w:rsidR="007F01FD" w:rsidRDefault="007F01FD" w:rsidP="007F01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Partner </w:t>
            </w:r>
            <w:r w:rsidRPr="00B22276">
              <w:rPr>
                <w:rFonts w:asciiTheme="majorBidi" w:hAnsiTheme="majorBidi" w:cstheme="majorBidi"/>
                <w:b/>
                <w:bCs/>
              </w:rPr>
              <w:t>comments</w:t>
            </w:r>
          </w:p>
          <w:p w:rsidR="007F01FD" w:rsidRPr="007F01FD" w:rsidRDefault="007F01FD" w:rsidP="007F01F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7F01FD" w:rsidRPr="007F01FD" w:rsidRDefault="007F01FD" w:rsidP="007F01F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7F01FD" w:rsidRPr="007F01FD" w:rsidRDefault="007F01FD" w:rsidP="007F01FD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F01FD">
              <w:rPr>
                <w:rFonts w:asciiTheme="majorBidi" w:hAnsiTheme="majorBidi" w:cstheme="majorBidi"/>
                <w:b/>
                <w:bCs/>
              </w:rPr>
              <w:t xml:space="preserve">Date: </w:t>
            </w:r>
            <w:r>
              <w:rPr>
                <w:rFonts w:asciiTheme="majorBidi" w:hAnsiTheme="majorBidi" w:cstheme="majorBidi"/>
                <w:b/>
                <w:bCs/>
              </w:rPr>
              <w:t>----</w:t>
            </w:r>
            <w:r w:rsidRPr="007F01FD">
              <w:rPr>
                <w:rFonts w:asciiTheme="majorBidi" w:hAnsiTheme="majorBidi" w:cstheme="majorBidi"/>
                <w:b/>
                <w:bCs/>
              </w:rPr>
              <w:t>-------------</w:t>
            </w:r>
          </w:p>
        </w:tc>
      </w:tr>
      <w:tr w:rsidR="007F01FD" w:rsidTr="007F01FD">
        <w:tc>
          <w:tcPr>
            <w:tcW w:w="9576" w:type="dxa"/>
          </w:tcPr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Action to be Done By Partner</w:t>
            </w:r>
          </w:p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="MyriadPro-Regular" w:eastAsia="Wingdings-Regular" w:cs="MyriadPro-Regular"/>
                <w:sz w:val="24"/>
                <w:szCs w:val="24"/>
              </w:rPr>
            </w:pPr>
          </w:p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="MyriadPro-Regular" w:eastAsia="Wingdings-Regular" w:cs="MyriadPro-Regular"/>
                <w:sz w:val="24"/>
                <w:szCs w:val="24"/>
              </w:rPr>
            </w:pPr>
          </w:p>
          <w:p w:rsidR="007F01FD" w:rsidRPr="0007572D" w:rsidRDefault="007F01FD" w:rsidP="0007572D">
            <w:pPr>
              <w:autoSpaceDE w:val="0"/>
              <w:autoSpaceDN w:val="0"/>
              <w:adjustRightInd w:val="0"/>
              <w:jc w:val="both"/>
              <w:rPr>
                <w:rFonts w:asciiTheme="majorBidi" w:eastAsia="Wingdings-Regular" w:hAnsiTheme="majorBidi" w:cstheme="majorBidi"/>
                <w:sz w:val="20"/>
                <w:szCs w:val="20"/>
              </w:rPr>
            </w:pPr>
            <w:r w:rsidRPr="0007572D">
              <w:rPr>
                <w:rFonts w:asciiTheme="majorBidi" w:eastAsia="Wingdings-Regular" w:hAnsiTheme="majorBidi" w:cstheme="majorBidi"/>
                <w:sz w:val="20"/>
                <w:szCs w:val="20"/>
              </w:rPr>
              <w:t xml:space="preserve">Reviewer </w:t>
            </w:r>
            <w:r w:rsidR="0007572D" w:rsidRPr="0007572D">
              <w:rPr>
                <w:rFonts w:asciiTheme="majorBidi" w:eastAsia="Wingdings-Regular" w:hAnsiTheme="majorBidi" w:cstheme="majorBidi"/>
                <w:sz w:val="20"/>
                <w:szCs w:val="20"/>
              </w:rPr>
              <w:t>Signature</w:t>
            </w:r>
            <w:r w:rsidRPr="0007572D">
              <w:rPr>
                <w:rFonts w:asciiTheme="majorBidi" w:eastAsia="Wingdings-Regular" w:hAnsiTheme="majorBidi" w:cstheme="majorBidi"/>
                <w:sz w:val="20"/>
                <w:szCs w:val="20"/>
              </w:rPr>
              <w:t>:</w:t>
            </w:r>
            <w:r w:rsidR="0007572D">
              <w:rPr>
                <w:rFonts w:asciiTheme="majorBidi" w:eastAsia="Wingdings-Regular" w:hAnsiTheme="majorBidi" w:cstheme="majorBidi"/>
                <w:sz w:val="20"/>
                <w:szCs w:val="20"/>
              </w:rPr>
              <w:t xml:space="preserve">                                                                                                   Partner</w:t>
            </w:r>
            <w:r w:rsidR="0007572D" w:rsidRPr="0007572D">
              <w:rPr>
                <w:rFonts w:asciiTheme="majorBidi" w:eastAsia="Wingdings-Regular" w:hAnsiTheme="majorBidi" w:cstheme="majorBidi"/>
                <w:sz w:val="20"/>
                <w:szCs w:val="20"/>
              </w:rPr>
              <w:t xml:space="preserve"> Signature:</w:t>
            </w:r>
          </w:p>
        </w:tc>
      </w:tr>
      <w:tr w:rsidR="007F01FD" w:rsidTr="007F01FD">
        <w:tc>
          <w:tcPr>
            <w:tcW w:w="9576" w:type="dxa"/>
          </w:tcPr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Partner Confirmation that the Action were Done:</w:t>
            </w:r>
          </w:p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="MyriadPro-Regular" w:eastAsia="Wingdings-Regular" w:cs="MyriadPro-Regular"/>
                <w:sz w:val="24"/>
                <w:szCs w:val="24"/>
              </w:rPr>
            </w:pPr>
          </w:p>
          <w:p w:rsidR="007F01FD" w:rsidRDefault="007F01FD" w:rsidP="007F01FD">
            <w:pPr>
              <w:autoSpaceDE w:val="0"/>
              <w:autoSpaceDN w:val="0"/>
              <w:adjustRightInd w:val="0"/>
              <w:jc w:val="both"/>
              <w:rPr>
                <w:rFonts w:ascii="MyriadPro-Regular" w:eastAsia="Wingdings-Regular" w:cs="MyriadPro-Regular"/>
                <w:sz w:val="24"/>
                <w:szCs w:val="24"/>
              </w:rPr>
            </w:pPr>
          </w:p>
          <w:p w:rsidR="007F01FD" w:rsidRPr="000002FD" w:rsidRDefault="0007572D" w:rsidP="007F01FD">
            <w:pPr>
              <w:autoSpaceDE w:val="0"/>
              <w:autoSpaceDN w:val="0"/>
              <w:adjustRightInd w:val="0"/>
              <w:jc w:val="both"/>
              <w:rPr>
                <w:rFonts w:ascii="MyriadPro-Regular" w:eastAsia="Wingdings-Regular" w:cs="MyriadPro-Regular"/>
                <w:sz w:val="24"/>
                <w:szCs w:val="24"/>
              </w:rPr>
            </w:pPr>
            <w:r>
              <w:rPr>
                <w:rFonts w:asciiTheme="majorBidi" w:eastAsia="Wingdings-Regular" w:hAnsiTheme="majorBidi" w:cstheme="majorBidi"/>
                <w:sz w:val="20"/>
                <w:szCs w:val="20"/>
              </w:rPr>
              <w:t>Partner</w:t>
            </w:r>
            <w:r w:rsidRPr="0007572D">
              <w:rPr>
                <w:rFonts w:asciiTheme="majorBidi" w:eastAsia="Wingdings-Regular" w:hAnsiTheme="majorBidi" w:cstheme="majorBidi"/>
                <w:sz w:val="20"/>
                <w:szCs w:val="20"/>
              </w:rPr>
              <w:t xml:space="preserve"> Signature:</w:t>
            </w:r>
          </w:p>
        </w:tc>
      </w:tr>
    </w:tbl>
    <w:p w:rsidR="007F01FD" w:rsidRDefault="007F01F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Date: </w:t>
      </w:r>
    </w:p>
    <w:p w:rsidR="0007572D" w:rsidRDefault="0007572D" w:rsidP="0007572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Reviewer</w:t>
      </w:r>
      <w:r>
        <w:rPr>
          <w:rFonts w:asciiTheme="majorBidi" w:hAnsiTheme="majorBidi" w:cstheme="majorBidi"/>
          <w:b/>
          <w:bCs/>
        </w:rPr>
        <w:t xml:space="preserve"> Name</w:t>
      </w: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Reviewer Signature</w:t>
      </w: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Date:</w:t>
      </w:r>
    </w:p>
    <w:p w:rsidR="0007572D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Partner Name</w:t>
      </w:r>
    </w:p>
    <w:p w:rsidR="0007572D" w:rsidRPr="00B22276" w:rsidRDefault="0007572D" w:rsidP="007F01F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Partner</w:t>
      </w:r>
      <w:bookmarkStart w:id="0" w:name="_GoBack"/>
      <w:bookmarkEnd w:id="0"/>
      <w:r>
        <w:rPr>
          <w:rFonts w:asciiTheme="majorBidi" w:hAnsiTheme="majorBidi" w:cstheme="majorBidi"/>
          <w:b/>
          <w:bCs/>
        </w:rPr>
        <w:t xml:space="preserve"> Signature</w:t>
      </w:r>
    </w:p>
    <w:sectPr w:rsidR="0007572D" w:rsidRPr="00B2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FD" w:rsidRDefault="007F01FD" w:rsidP="00005F71">
      <w:pPr>
        <w:spacing w:after="0" w:line="240" w:lineRule="auto"/>
      </w:pPr>
      <w:r>
        <w:separator/>
      </w:r>
    </w:p>
  </w:endnote>
  <w:endnote w:type="continuationSeparator" w:id="0">
    <w:p w:rsidR="007F01FD" w:rsidRDefault="007F01FD" w:rsidP="0000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FD" w:rsidRDefault="007F01FD" w:rsidP="00005F71">
      <w:pPr>
        <w:spacing w:after="0" w:line="240" w:lineRule="auto"/>
      </w:pPr>
      <w:r>
        <w:separator/>
      </w:r>
    </w:p>
  </w:footnote>
  <w:footnote w:type="continuationSeparator" w:id="0">
    <w:p w:rsidR="007F01FD" w:rsidRDefault="007F01FD" w:rsidP="00005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3"/>
    <w:rsid w:val="000002FD"/>
    <w:rsid w:val="00005F71"/>
    <w:rsid w:val="0007572D"/>
    <w:rsid w:val="001F10A3"/>
    <w:rsid w:val="003C1100"/>
    <w:rsid w:val="00744094"/>
    <w:rsid w:val="007F01FD"/>
    <w:rsid w:val="00B22276"/>
    <w:rsid w:val="00C110B6"/>
    <w:rsid w:val="00CB0CE4"/>
    <w:rsid w:val="00CC3738"/>
    <w:rsid w:val="00F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5F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71"/>
  </w:style>
  <w:style w:type="paragraph" w:styleId="Footer">
    <w:name w:val="footer"/>
    <w:basedOn w:val="Normal"/>
    <w:link w:val="FooterChar"/>
    <w:uiPriority w:val="99"/>
    <w:unhideWhenUsed/>
    <w:rsid w:val="00005F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5F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71"/>
  </w:style>
  <w:style w:type="paragraph" w:styleId="Footer">
    <w:name w:val="footer"/>
    <w:basedOn w:val="Normal"/>
    <w:link w:val="FooterChar"/>
    <w:uiPriority w:val="99"/>
    <w:unhideWhenUsed/>
    <w:rsid w:val="00005F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3</cp:revision>
  <dcterms:created xsi:type="dcterms:W3CDTF">2023-06-29T09:08:00Z</dcterms:created>
  <dcterms:modified xsi:type="dcterms:W3CDTF">2023-06-29T09:48:00Z</dcterms:modified>
</cp:coreProperties>
</file>