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BD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="MyriadPro-BoldIt" w:cs="MyriadPro-BoldIt"/>
          <w:b/>
          <w:bCs/>
          <w:i/>
          <w:iCs/>
          <w:color w:val="00336A"/>
          <w:sz w:val="28"/>
          <w:szCs w:val="28"/>
        </w:rPr>
      </w:pPr>
      <w:bookmarkStart w:id="0" w:name="_GoBack"/>
      <w:r w:rsidRPr="00683260">
        <w:rPr>
          <w:rFonts w:ascii="MyriadPro-BoldIt" w:cs="MyriadPro-BoldIt"/>
          <w:b/>
          <w:bCs/>
          <w:i/>
          <w:iCs/>
          <w:color w:val="00336A"/>
          <w:sz w:val="28"/>
          <w:szCs w:val="28"/>
        </w:rPr>
        <w:t>Human Resources</w:t>
      </w:r>
      <w:bookmarkEnd w:id="0"/>
      <w:r w:rsidRPr="00683260">
        <w:rPr>
          <w:rFonts w:ascii="MyriadPro-BoldIt" w:cs="MyriadPro-BoldIt"/>
          <w:b/>
          <w:bCs/>
          <w:i/>
          <w:iCs/>
          <w:color w:val="00336A"/>
          <w:sz w:val="28"/>
          <w:szCs w:val="28"/>
        </w:rPr>
        <w:t>: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="MyriadPro-BoldIt" w:cs="MyriadPro-BoldIt"/>
          <w:b/>
          <w:bCs/>
          <w:i/>
          <w:iCs/>
          <w:color w:val="00336A"/>
          <w:sz w:val="28"/>
          <w:szCs w:val="28"/>
        </w:rPr>
      </w:pP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wealth of any firm is largely tied to the number and quality of the professional personnel employed by</w:t>
      </w:r>
      <w:r w:rsidRPr="00683260"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or providing services to the practice. It naturally follows that the success of the firm will be directly linked to</w:t>
      </w:r>
      <w:r w:rsidRPr="00683260"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the management of its personnel.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It is suggested that the firm appoint an individual responsible for all human resource functions. In</w:t>
      </w:r>
      <w:r w:rsidRPr="00683260"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smaller firms these functions may involve fewer and simpler procedures. For example, in the instance of</w:t>
      </w:r>
      <w:r w:rsidRPr="00683260"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performance appraisals, rather than a longer and more formal performance evaluation, the process may</w:t>
      </w:r>
      <w:r w:rsidRPr="00683260"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consist of a memorandum dated and signed by both the reviewer and staff member.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  <w:r w:rsidRPr="00683260">
        <w:rPr>
          <w:rFonts w:asciiTheme="majorBidi" w:hAnsiTheme="majorBidi" w:cstheme="majorBidi"/>
          <w:b/>
          <w:bCs/>
          <w:color w:val="00336A"/>
          <w:sz w:val="28"/>
          <w:szCs w:val="28"/>
        </w:rPr>
        <w:t>Recruitment and Retention</w:t>
      </w:r>
      <w:r>
        <w:rPr>
          <w:rFonts w:asciiTheme="majorBidi" w:hAnsiTheme="majorBidi" w:cstheme="majorBidi"/>
          <w:b/>
          <w:bCs/>
          <w:color w:val="00336A"/>
          <w:sz w:val="28"/>
          <w:szCs w:val="28"/>
        </w:rPr>
        <w:t>: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To ensure it has the capacity and competence necessary to meet its clients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 xml:space="preserve"> needs, it is necessary for the firm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to routinely assess its professional service requirements. It is suggested that the firm consider the following: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 w:hint="cs"/>
          <w:sz w:val="24"/>
          <w:szCs w:val="24"/>
        </w:rPr>
        <w:t>•</w:t>
      </w:r>
      <w:r w:rsidRPr="00683260">
        <w:rPr>
          <w:rFonts w:asciiTheme="majorBidi" w:hAnsiTheme="majorBidi" w:cstheme="majorBidi"/>
          <w:sz w:val="24"/>
          <w:szCs w:val="24"/>
        </w:rPr>
        <w:t xml:space="preserve"> A detailed expectation of engagement requirements over the course of each calendar period in order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identify peak periods and potential resource shortages;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 w:hint="cs"/>
          <w:sz w:val="24"/>
          <w:szCs w:val="24"/>
        </w:rPr>
        <w:t>•</w:t>
      </w:r>
      <w:r w:rsidRPr="00683260">
        <w:rPr>
          <w:rFonts w:asciiTheme="majorBidi" w:hAnsiTheme="majorBidi" w:cstheme="majorBidi"/>
          <w:sz w:val="24"/>
          <w:szCs w:val="24"/>
        </w:rPr>
        <w:t xml:space="preserve"> Following standard job interview procedures, including documentation of the process;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 w:hint="cs"/>
          <w:sz w:val="24"/>
          <w:szCs w:val="24"/>
        </w:rPr>
        <w:t>•</w:t>
      </w:r>
      <w:r w:rsidRPr="00683260">
        <w:rPr>
          <w:rFonts w:asciiTheme="majorBidi" w:hAnsiTheme="majorBidi" w:cstheme="majorBidi"/>
          <w:sz w:val="24"/>
          <w:szCs w:val="24"/>
        </w:rPr>
        <w:t xml:space="preserve"> Maintaining standards for entry, intermediate, and senior level qualifications and provide candidates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with an explanation of these expected qualifications during the recruitment process.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firm may consider the development of orientation material and require all new personnel to attend 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orientation session as soon as is practical after commencing employment. The orientation materials would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typically include items such as a complete copy of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policies and procedures, personnel policies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benefits handbook, accounting and assurance manuals which include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forms and templates (if 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available electronically), details on training programs (if applicable), and any other firm-specific information.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firm may also consider establishing a probationary period for all new personnel (for example, three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six months from the date of hire), together with a performance review upon successful completion. New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staff would be provided with close supervision and feedback during this period.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Providing opportunities for its personnel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career development will enhance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ability to retain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competent professionals, which will in turn support sustainability and continued growth.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It is desirable for the firm to periodically review the effectiveness of its recruitment program together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an assessment of its current resource needs to identify whether revisions to the program are required.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Smaller firms may face even greater challenges than their larger counterparts as they compete for these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limited resources with what is often perceived to be reduced opportunities for staff advancement, combined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with lower salaries and benefits. Given these challenges, it is even more critical for smaller firms to plan 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resourcing requirements (thus addressing the risk of staff burnout). It is useful to consider the cost of losing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staff to a competitor when establishing adequate compensation ranges for the firm.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  <w:r w:rsidRPr="00683260">
        <w:rPr>
          <w:rFonts w:asciiTheme="majorBidi" w:hAnsiTheme="majorBidi" w:cstheme="majorBidi"/>
          <w:b/>
          <w:bCs/>
          <w:color w:val="00336A"/>
          <w:sz w:val="28"/>
          <w:szCs w:val="28"/>
        </w:rPr>
        <w:lastRenderedPageBreak/>
        <w:t>Continuing Professional Development</w:t>
      </w:r>
      <w:r>
        <w:rPr>
          <w:rFonts w:asciiTheme="majorBidi" w:hAnsiTheme="majorBidi" w:cstheme="majorBidi"/>
          <w:b/>
          <w:bCs/>
          <w:color w:val="00336A"/>
          <w:sz w:val="28"/>
          <w:szCs w:val="28"/>
        </w:rPr>
        <w:t>: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IAESB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International Education Standard (IES) 7, Continuing Professional Development: A Program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Lifelong Learning and Continuing Development of Professional Competence, prescribes that IFAC member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bodies implement a continuing professional development (CPD) requirement as an integral component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 professional accountant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continued membership. IES 8, Competence Requirements for Audit Professionals,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prescribes competence requirements for audit professionals, and IFAC member bodies need to establish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via policies and procedures that members satisfy these requirements. Additional continuing professional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development requirements may be expected by member bodies or regulators in various jurisdictions.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A proposal worthy of consideration is to have the individual responsible for human resources within the firm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approve attendance at external professional development courses.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It is suggested that partners and staff be responsible for maintaining their own professional development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records (and, where applicable, adhering to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guidelines). The individual responsible for human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resources within the firm may choose to review these records annually with each partner or staff member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order to ensure the required training and continuing professional development has been undertaken and, if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necessary, to determine appropriate actions to address any shortfalls.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  <w:r w:rsidRPr="00683260">
        <w:rPr>
          <w:rFonts w:asciiTheme="majorBidi" w:hAnsiTheme="majorBidi" w:cstheme="majorBidi"/>
          <w:b/>
          <w:bCs/>
          <w:color w:val="00336A"/>
          <w:sz w:val="28"/>
          <w:szCs w:val="28"/>
        </w:rPr>
        <w:t>Enforcement of Quality Control Policies (Discipline)</w:t>
      </w:r>
      <w:r>
        <w:rPr>
          <w:rFonts w:asciiTheme="majorBidi" w:hAnsiTheme="majorBidi" w:cstheme="majorBidi"/>
          <w:b/>
          <w:bCs/>
          <w:color w:val="00336A"/>
          <w:sz w:val="28"/>
          <w:szCs w:val="28"/>
        </w:rPr>
        <w:t>: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quality control system requires more than just effective monitoring. An enforcement process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essential, and includes consequences and corrective procedures for non-compliance, disregard, lack of due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care and attention, abuse, and circumvention.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firm may designate an individual within the firm to manage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disciplinary process. Corrective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action is often best determined and administered through a consultative process, not in an autocratic fashion.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process to follow is similar to that for resolving differences of opinion (see Section 5.5). It is suggested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this process include timely documentation by the individual responsible for human resources within the firm.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All-encompassing rules and procedures cannot completely address disciplinary issues and the type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disciplinary action to take. Accordingly, firm policies can only set out general principles and protocols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assist in the process of dealing with significant disciplinary matters.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It is suggested that the process for addressing disciplinary issues be objective, conscientious, open-minded,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and reasonable in finding and facilitating a timely resolution to the matter. Nevertheless, the firm must defend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its responsibility to manage risk, to uphold the professional responsibilities of independence, to avoid conflict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of interest, and to act with professional competence and due care. Naturally, the sequence of disciplinary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events determined will be dependent, in some regards, upon the labor laws within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jurisdiction.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Serious, willful, and repeated infractions or disregard for firm policies and professional rules cannot 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tolerated. Appropriate steps must be taken to correct the partner or staff member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behavior or terminate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the person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relationship with the firm.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  <w:r w:rsidRPr="00683260">
        <w:rPr>
          <w:rFonts w:asciiTheme="majorBidi" w:hAnsiTheme="majorBidi" w:cstheme="majorBidi"/>
          <w:b/>
          <w:bCs/>
          <w:color w:val="00336A"/>
          <w:sz w:val="28"/>
          <w:szCs w:val="28"/>
        </w:rPr>
        <w:lastRenderedPageBreak/>
        <w:t>Rewarding Compliance</w:t>
      </w:r>
      <w:r>
        <w:rPr>
          <w:rFonts w:asciiTheme="majorBidi" w:hAnsiTheme="majorBidi" w:cstheme="majorBidi"/>
          <w:b/>
          <w:bCs/>
          <w:color w:val="00336A"/>
          <w:sz w:val="28"/>
          <w:szCs w:val="28"/>
        </w:rPr>
        <w:t>:</w:t>
      </w:r>
    </w:p>
    <w:p w:rsid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336A"/>
          <w:sz w:val="28"/>
          <w:szCs w:val="28"/>
        </w:rPr>
      </w:pP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It is important to reinforce and stress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commitment to a strong and effective quality control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system through positive reinforcement and recognition of compliance, leadership, innovation, training,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 xml:space="preserve">development, and co-operation </w:t>
      </w:r>
      <w:r w:rsidRPr="00683260">
        <w:rPr>
          <w:rFonts w:asciiTheme="majorBidi" w:hAnsiTheme="majorBidi" w:cstheme="majorBidi" w:hint="cs"/>
          <w:sz w:val="24"/>
          <w:szCs w:val="24"/>
        </w:rPr>
        <w:t>—</w:t>
      </w:r>
      <w:r w:rsidRPr="00683260">
        <w:rPr>
          <w:rFonts w:asciiTheme="majorBidi" w:hAnsiTheme="majorBidi" w:cstheme="majorBidi"/>
          <w:sz w:val="24"/>
          <w:szCs w:val="24"/>
        </w:rPr>
        <w:t xml:space="preserve"> including individual involvement and contribution to quality control,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ethics, and integrity.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The use of performance appraisals is one way in which the firm provides personnel encouragement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to continue their professional development, reinforces good behavior and performance, and offers 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opportunity for constructive criticism. It is suggested that these appraisals not only consider performance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on various engagements, but also incorporate feedback from a variety of supervisors (senior staff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partners), and to the extent that comments have been provided, from clients. These characteristics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are considered in conjunction with technical knowledge, analytical and judgmental skills, ability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communicate (both verbal and written) and leadership and training skills.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It is suggested that compliance with the firm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quality control policies be considered and addressed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specific and overall assessment of individual partners and staff on an ongoing basis and in the regularly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scheduled personnel review process.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A proposal worthy of consideration it to assign appropriate weighting to the traits noted above in the overall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assessment of job performance and in determining remuneration levels, bonuses, advancement, career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development, and authority within the firm. Quality should figure prominently amongst such weighting.</w:t>
      </w:r>
    </w:p>
    <w:p w:rsidR="00683260" w:rsidRPr="00683260" w:rsidRDefault="00683260" w:rsidP="006832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260">
        <w:rPr>
          <w:rFonts w:asciiTheme="majorBidi" w:hAnsiTheme="majorBidi" w:cstheme="majorBidi"/>
          <w:sz w:val="24"/>
          <w:szCs w:val="24"/>
        </w:rPr>
        <w:t>Performance appraisals, conducted on a periodic basis, would normally include the form and content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as defined by firm policy. These would normally include an evaluation of the personnel</w:t>
      </w:r>
      <w:r w:rsidRPr="00683260">
        <w:rPr>
          <w:rFonts w:asciiTheme="majorBidi" w:hAnsiTheme="majorBidi" w:cstheme="majorBidi" w:hint="cs"/>
          <w:sz w:val="24"/>
          <w:szCs w:val="24"/>
        </w:rPr>
        <w:t>’</w:t>
      </w:r>
      <w:r w:rsidRPr="00683260">
        <w:rPr>
          <w:rFonts w:asciiTheme="majorBidi" w:hAnsiTheme="majorBidi" w:cstheme="majorBidi"/>
          <w:sz w:val="24"/>
          <w:szCs w:val="24"/>
        </w:rPr>
        <w:t>s training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developmental needs, goal setting, opportunities for career development and promotion, as well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3260">
        <w:rPr>
          <w:rFonts w:asciiTheme="majorBidi" w:hAnsiTheme="majorBidi" w:cstheme="majorBidi"/>
          <w:sz w:val="24"/>
          <w:szCs w:val="24"/>
        </w:rPr>
        <w:t>compensation.</w:t>
      </w:r>
    </w:p>
    <w:sectPr w:rsidR="00683260" w:rsidRPr="00683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60"/>
    <w:rsid w:val="00683260"/>
    <w:rsid w:val="00F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1</cp:revision>
  <dcterms:created xsi:type="dcterms:W3CDTF">2023-06-30T07:35:00Z</dcterms:created>
  <dcterms:modified xsi:type="dcterms:W3CDTF">2023-06-30T07:44:00Z</dcterms:modified>
</cp:coreProperties>
</file>